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zawartego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imię: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    adres: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nazwisko: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r w:rsidR="00A96B33">
        <w:rPr>
          <w:sz w:val="20"/>
          <w:szCs w:val="20"/>
        </w:rPr>
        <w:t>telefon</w:t>
      </w:r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8C4B6F">
        <w:rPr>
          <w:sz w:val="20"/>
          <w:szCs w:val="20"/>
        </w:rPr>
        <w:t>Dz. U. z 2022r., poz. 671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późn. zm.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>Za działalność rolniczą uważa się produkcję roślinną i zwierzęcą, w tym również produkcje materiału siewnego, szkółkarskiego. hodowlanego oraz reprodukcyjnego, produkcję warzywniczą, roślin ozdobnych, grzybów uprawnych, sadownictwa, hodowlę                         i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20.12.1996r.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komunalnej (Dz</w:t>
      </w:r>
      <w:r w:rsidR="00FA6AF3">
        <w:rPr>
          <w:sz w:val="20"/>
          <w:szCs w:val="20"/>
        </w:rPr>
        <w:t>. U. z 2021r., poz. 679</w:t>
      </w:r>
      <w:r w:rsidR="00744929" w:rsidRPr="00744929">
        <w:rPr>
          <w:sz w:val="20"/>
          <w:szCs w:val="20"/>
        </w:rPr>
        <w:t xml:space="preserve"> z późn. zm.).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samorządu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są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F200BF">
        <w:rPr>
          <w:rFonts w:cs="TimesNewRoman"/>
          <w:sz w:val="20"/>
          <w:szCs w:val="20"/>
        </w:rPr>
        <w:t>. U. z 2024r. poz. 1616</w:t>
      </w:r>
      <w:bookmarkStart w:id="0" w:name="_GoBack"/>
      <w:bookmarkEnd w:id="0"/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>z późn. zm.).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FA6AF3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      </w:t>
      </w:r>
      <w:r w:rsidR="00F200BF">
        <w:rPr>
          <w:rFonts w:cs="TimesNewRoman"/>
          <w:sz w:val="20"/>
          <w:szCs w:val="20"/>
        </w:rPr>
        <w:t>(Dz. U. z 2024</w:t>
      </w:r>
      <w:r w:rsidR="00ED4EA0">
        <w:rPr>
          <w:rFonts w:cs="TimesNewRoman"/>
          <w:sz w:val="20"/>
          <w:szCs w:val="20"/>
        </w:rPr>
        <w:t xml:space="preserve"> r. poz. 153</w:t>
      </w:r>
      <w:r w:rsidR="008C4B6F">
        <w:rPr>
          <w:rFonts w:cs="TimesNewRoman"/>
          <w:sz w:val="20"/>
          <w:szCs w:val="20"/>
        </w:rPr>
        <w:t>0</w:t>
      </w:r>
      <w:r w:rsidR="000B35F5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>z późn. zm.).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>Kategoria przedsiębiorstwa, przy którego użyciu beneficjent pomocy wykonuje działalność w rozumieniu załącznika                                I do rozporządzenia Komisji (UE) nr 702/2014 z dnia 25 czerwca 2014 r. uznającego niektóre kategorie pomocy w sektorach rolnym i leśnym oraz na obszarach wiejskich za zgodne z rynkiem wewnętrznym w zastosowaniu art. 107 i 108 Traktatu                              o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z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(PKD)                            (Dz. U. poz. 1885 oraz z</w:t>
      </w:r>
      <w:r w:rsidR="00174BE3">
        <w:rPr>
          <w:rFonts w:cs="TimesNewRoman"/>
          <w:b/>
          <w:i/>
          <w:sz w:val="20"/>
          <w:szCs w:val="20"/>
        </w:rPr>
        <w:t xml:space="preserve"> późn.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świń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06AB2"/>
    <w:rsid w:val="000B35F5"/>
    <w:rsid w:val="00174BE3"/>
    <w:rsid w:val="001E6875"/>
    <w:rsid w:val="003009B4"/>
    <w:rsid w:val="0034740D"/>
    <w:rsid w:val="004B1EEB"/>
    <w:rsid w:val="0066418C"/>
    <w:rsid w:val="00690693"/>
    <w:rsid w:val="00744929"/>
    <w:rsid w:val="00750FDA"/>
    <w:rsid w:val="00773F8C"/>
    <w:rsid w:val="007E6510"/>
    <w:rsid w:val="008C4B6F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C92412"/>
    <w:rsid w:val="00D66A95"/>
    <w:rsid w:val="00E243DA"/>
    <w:rsid w:val="00E550E5"/>
    <w:rsid w:val="00E6536B"/>
    <w:rsid w:val="00ED4EA0"/>
    <w:rsid w:val="00F200BF"/>
    <w:rsid w:val="00F33C3E"/>
    <w:rsid w:val="00F734ED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5</cp:revision>
  <cp:lastPrinted>2020-06-30T06:50:00Z</cp:lastPrinted>
  <dcterms:created xsi:type="dcterms:W3CDTF">2024-01-29T12:55:00Z</dcterms:created>
  <dcterms:modified xsi:type="dcterms:W3CDTF">2025-07-28T08:20:00Z</dcterms:modified>
</cp:coreProperties>
</file>